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5C435" w14:textId="77777777" w:rsidR="00616C21" w:rsidRPr="007C0A85" w:rsidRDefault="00616C21" w:rsidP="00616C21">
      <w:pPr>
        <w:pStyle w:val="Ttulo3"/>
        <w:spacing w:before="0" w:after="0" w:line="360" w:lineRule="auto"/>
        <w:rPr>
          <w:rFonts w:ascii="Times New Roman" w:hAnsi="Times New Roman" w:cs="Times New Roman"/>
          <w:sz w:val="24"/>
          <w:szCs w:val="24"/>
          <w:u w:val="single"/>
        </w:rPr>
      </w:pPr>
    </w:p>
    <w:p w14:paraId="2CDFA5EE" w14:textId="65B88245" w:rsidR="000C72E5" w:rsidRPr="007C0A85" w:rsidRDefault="000C72E5" w:rsidP="00616C21">
      <w:pPr>
        <w:pStyle w:val="Ttulo3"/>
        <w:spacing w:before="0" w:after="0" w:line="360" w:lineRule="auto"/>
        <w:rPr>
          <w:rFonts w:ascii="Times New Roman" w:hAnsi="Times New Roman" w:cs="Times New Roman"/>
          <w:sz w:val="24"/>
          <w:szCs w:val="24"/>
          <w:u w:val="single"/>
        </w:rPr>
      </w:pPr>
      <w:r w:rsidRPr="007C0A85">
        <w:rPr>
          <w:rFonts w:ascii="Times New Roman" w:hAnsi="Times New Roman" w:cs="Times New Roman"/>
          <w:sz w:val="24"/>
          <w:szCs w:val="24"/>
          <w:u w:val="single"/>
        </w:rPr>
        <w:t xml:space="preserve">RESOLUCION Nº </w:t>
      </w:r>
      <w:r w:rsidR="007C0A85" w:rsidRPr="007C0A85">
        <w:rPr>
          <w:rFonts w:ascii="Times New Roman" w:hAnsi="Times New Roman" w:cs="Times New Roman"/>
          <w:sz w:val="24"/>
          <w:szCs w:val="24"/>
          <w:u w:val="single"/>
        </w:rPr>
        <w:t>R53/23</w:t>
      </w:r>
    </w:p>
    <w:p w14:paraId="1AED712E" w14:textId="77777777" w:rsidR="000C72E5" w:rsidRPr="007C0A85" w:rsidRDefault="000C72E5" w:rsidP="00616C21">
      <w:pPr>
        <w:spacing w:line="360" w:lineRule="auto"/>
        <w:jc w:val="both"/>
        <w:rPr>
          <w:b/>
          <w:szCs w:val="24"/>
          <w:lang w:val="es-ES_tradnl"/>
        </w:rPr>
      </w:pPr>
    </w:p>
    <w:p w14:paraId="221BC3C2" w14:textId="0ADE03BB" w:rsidR="000C72E5" w:rsidRPr="007C0A85" w:rsidRDefault="000C72E5" w:rsidP="00616C21">
      <w:pPr>
        <w:spacing w:line="360" w:lineRule="auto"/>
        <w:jc w:val="both"/>
        <w:rPr>
          <w:szCs w:val="24"/>
          <w:lang w:val="es-ES_tradnl"/>
        </w:rPr>
      </w:pPr>
      <w:r w:rsidRPr="007C0A85">
        <w:rPr>
          <w:b/>
          <w:szCs w:val="24"/>
          <w:lang w:val="es-ES_tradnl"/>
        </w:rPr>
        <w:t xml:space="preserve">DEL DIRECTORIO DE LA CAJA PREVISIONALA PARA </w:t>
      </w:r>
      <w:r w:rsidR="00616C21" w:rsidRPr="007C0A85">
        <w:rPr>
          <w:b/>
          <w:szCs w:val="24"/>
          <w:lang w:val="es-ES_tradnl"/>
        </w:rPr>
        <w:t>PROFESIONALES DE</w:t>
      </w:r>
      <w:r w:rsidRPr="007C0A85">
        <w:rPr>
          <w:b/>
          <w:szCs w:val="24"/>
          <w:lang w:val="es-ES_tradnl"/>
        </w:rPr>
        <w:t xml:space="preserve"> LA PROVINCIA DEL NEUQUEN</w:t>
      </w:r>
      <w:r w:rsidRPr="007C0A85">
        <w:rPr>
          <w:szCs w:val="24"/>
          <w:lang w:val="es-ES_tradnl"/>
        </w:rPr>
        <w:t xml:space="preserve">, </w:t>
      </w:r>
      <w:r w:rsidR="00231E18" w:rsidRPr="007C0A85">
        <w:rPr>
          <w:szCs w:val="24"/>
          <w:lang w:val="es-ES_tradnl"/>
        </w:rPr>
        <w:t xml:space="preserve">con fecha </w:t>
      </w:r>
      <w:r w:rsidR="007C0A85" w:rsidRPr="007C0A85">
        <w:rPr>
          <w:szCs w:val="24"/>
          <w:lang w:val="es-ES_tradnl"/>
        </w:rPr>
        <w:t xml:space="preserve">22 de </w:t>
      </w:r>
      <w:proofErr w:type="gramStart"/>
      <w:r w:rsidR="007C0A85" w:rsidRPr="007C0A85">
        <w:rPr>
          <w:szCs w:val="24"/>
          <w:lang w:val="es-ES_tradnl"/>
        </w:rPr>
        <w:t>Junio</w:t>
      </w:r>
      <w:proofErr w:type="gramEnd"/>
      <w:r w:rsidR="007C0A85" w:rsidRPr="007C0A85">
        <w:rPr>
          <w:szCs w:val="24"/>
          <w:lang w:val="es-ES_tradnl"/>
        </w:rPr>
        <w:t xml:space="preserve"> de 2023;</w:t>
      </w:r>
    </w:p>
    <w:p w14:paraId="0241CFAA" w14:textId="77777777" w:rsidR="007C0A85" w:rsidRPr="007C0A85" w:rsidRDefault="007C0A85" w:rsidP="00616C21">
      <w:pPr>
        <w:spacing w:line="360" w:lineRule="auto"/>
        <w:jc w:val="both"/>
        <w:rPr>
          <w:szCs w:val="24"/>
          <w:lang w:val="es-ES_tradnl"/>
        </w:rPr>
      </w:pPr>
    </w:p>
    <w:p w14:paraId="41F4C844" w14:textId="77777777" w:rsidR="000C72E5" w:rsidRPr="007C0A85" w:rsidRDefault="000C72E5" w:rsidP="00616C21">
      <w:pPr>
        <w:widowControl w:val="0"/>
        <w:autoSpaceDE w:val="0"/>
        <w:autoSpaceDN w:val="0"/>
        <w:adjustRightInd w:val="0"/>
        <w:spacing w:line="360" w:lineRule="auto"/>
        <w:jc w:val="both"/>
        <w:rPr>
          <w:b/>
          <w:bCs/>
          <w:color w:val="000000"/>
          <w:szCs w:val="24"/>
          <w:u w:val="single"/>
        </w:rPr>
      </w:pPr>
      <w:r w:rsidRPr="007C0A85">
        <w:rPr>
          <w:b/>
          <w:bCs/>
          <w:color w:val="000000"/>
          <w:szCs w:val="24"/>
          <w:u w:val="single"/>
        </w:rPr>
        <w:t>VISTO:</w:t>
      </w:r>
    </w:p>
    <w:p w14:paraId="72C7642B" w14:textId="77777777" w:rsidR="00616C21" w:rsidRPr="007C0A85" w:rsidRDefault="00616C21" w:rsidP="00616C21">
      <w:pPr>
        <w:widowControl w:val="0"/>
        <w:autoSpaceDE w:val="0"/>
        <w:autoSpaceDN w:val="0"/>
        <w:adjustRightInd w:val="0"/>
        <w:spacing w:line="360" w:lineRule="auto"/>
        <w:jc w:val="both"/>
        <w:rPr>
          <w:bCs/>
          <w:color w:val="000000"/>
          <w:szCs w:val="24"/>
        </w:rPr>
      </w:pPr>
    </w:p>
    <w:p w14:paraId="66B3B96F" w14:textId="7C80C30A" w:rsidR="000C72E5" w:rsidRPr="007C0A85" w:rsidRDefault="000C72E5" w:rsidP="00616C21">
      <w:pPr>
        <w:widowControl w:val="0"/>
        <w:autoSpaceDE w:val="0"/>
        <w:autoSpaceDN w:val="0"/>
        <w:adjustRightInd w:val="0"/>
        <w:spacing w:line="360" w:lineRule="auto"/>
        <w:ind w:firstLine="1843"/>
        <w:jc w:val="both"/>
        <w:rPr>
          <w:szCs w:val="24"/>
        </w:rPr>
      </w:pPr>
      <w:r w:rsidRPr="007C0A85">
        <w:rPr>
          <w:color w:val="000000"/>
          <w:szCs w:val="24"/>
        </w:rPr>
        <w:t xml:space="preserve">La importancia de mantener equilibrado el sistema financiero actuarial de la Caja, incrementando los aportes mínimos mensuales, y elevando en consecuencia el </w:t>
      </w:r>
      <w:r w:rsidRPr="007C0A85">
        <w:rPr>
          <w:szCs w:val="24"/>
        </w:rPr>
        <w:t>nivel de bene</w:t>
      </w:r>
      <w:r w:rsidR="00616C21" w:rsidRPr="007C0A85">
        <w:rPr>
          <w:szCs w:val="24"/>
        </w:rPr>
        <w:t>ficio previsional que se otorga, y;</w:t>
      </w:r>
    </w:p>
    <w:p w14:paraId="18684ED3" w14:textId="77777777" w:rsidR="00616C21" w:rsidRPr="007C0A85" w:rsidRDefault="00616C21" w:rsidP="00616C21">
      <w:pPr>
        <w:widowControl w:val="0"/>
        <w:autoSpaceDE w:val="0"/>
        <w:autoSpaceDN w:val="0"/>
        <w:adjustRightInd w:val="0"/>
        <w:spacing w:line="360" w:lineRule="auto"/>
        <w:jc w:val="both"/>
        <w:rPr>
          <w:color w:val="000000"/>
          <w:szCs w:val="24"/>
        </w:rPr>
      </w:pPr>
    </w:p>
    <w:p w14:paraId="17DDC446" w14:textId="74A4C2BA" w:rsidR="000C72E5" w:rsidRPr="007C0A85" w:rsidRDefault="000C72E5" w:rsidP="00616C21">
      <w:pPr>
        <w:widowControl w:val="0"/>
        <w:autoSpaceDE w:val="0"/>
        <w:autoSpaceDN w:val="0"/>
        <w:adjustRightInd w:val="0"/>
        <w:spacing w:line="360" w:lineRule="auto"/>
        <w:jc w:val="both"/>
        <w:rPr>
          <w:b/>
          <w:bCs/>
          <w:color w:val="000000"/>
          <w:szCs w:val="24"/>
          <w:u w:val="single"/>
        </w:rPr>
      </w:pPr>
      <w:r w:rsidRPr="007C0A85">
        <w:rPr>
          <w:b/>
          <w:bCs/>
          <w:color w:val="000000"/>
          <w:szCs w:val="24"/>
          <w:u w:val="single"/>
        </w:rPr>
        <w:t>CONSIDERANDO:</w:t>
      </w:r>
    </w:p>
    <w:p w14:paraId="44163962" w14:textId="77777777" w:rsidR="00616C21" w:rsidRPr="007C0A85" w:rsidRDefault="00616C21" w:rsidP="00616C21">
      <w:pPr>
        <w:widowControl w:val="0"/>
        <w:autoSpaceDE w:val="0"/>
        <w:autoSpaceDN w:val="0"/>
        <w:adjustRightInd w:val="0"/>
        <w:spacing w:line="360" w:lineRule="auto"/>
        <w:ind w:firstLine="1945"/>
        <w:jc w:val="both"/>
        <w:rPr>
          <w:color w:val="000000"/>
          <w:szCs w:val="24"/>
        </w:rPr>
      </w:pPr>
    </w:p>
    <w:p w14:paraId="31BF68F4" w14:textId="665ACA78" w:rsidR="000C72E5" w:rsidRPr="007C0A85" w:rsidRDefault="000C72E5" w:rsidP="00616C21">
      <w:pPr>
        <w:widowControl w:val="0"/>
        <w:autoSpaceDE w:val="0"/>
        <w:autoSpaceDN w:val="0"/>
        <w:adjustRightInd w:val="0"/>
        <w:spacing w:line="360" w:lineRule="auto"/>
        <w:ind w:firstLine="1843"/>
        <w:jc w:val="both"/>
        <w:rPr>
          <w:color w:val="000000"/>
          <w:szCs w:val="24"/>
        </w:rPr>
      </w:pPr>
      <w:r w:rsidRPr="007C0A85">
        <w:rPr>
          <w:color w:val="000000"/>
          <w:szCs w:val="24"/>
        </w:rPr>
        <w:t>Que la Ley 2.223 regula en el art. 37 inc. g) la metodología para adecuar la tabla de aportes del art. 40 inc. d) de la citada norma legal, estableciendo que la Asamblea Anual Ordinaria de Afiliados produzca su modificación a propuesta de la Asamblea de Delegados con el correspondiente Estudio Actuarial;</w:t>
      </w:r>
    </w:p>
    <w:p w14:paraId="172A22F9" w14:textId="4495BF95" w:rsidR="000C72E5" w:rsidRPr="007C0A85" w:rsidRDefault="000C72E5" w:rsidP="00616C21">
      <w:pPr>
        <w:widowControl w:val="0"/>
        <w:autoSpaceDE w:val="0"/>
        <w:autoSpaceDN w:val="0"/>
        <w:adjustRightInd w:val="0"/>
        <w:spacing w:line="360" w:lineRule="auto"/>
        <w:ind w:firstLine="1843"/>
        <w:jc w:val="both"/>
        <w:rPr>
          <w:color w:val="000000"/>
          <w:szCs w:val="24"/>
        </w:rPr>
      </w:pPr>
      <w:r w:rsidRPr="007C0A85">
        <w:rPr>
          <w:color w:val="000000"/>
          <w:szCs w:val="24"/>
        </w:rPr>
        <w:t xml:space="preserve">Que la Asamblea de Delegados, previo análisis del informe actuarial y en cumplimiento de lo establecido en la ley 2223, </w:t>
      </w:r>
      <w:r w:rsidR="00616C21" w:rsidRPr="007C0A85">
        <w:rPr>
          <w:color w:val="000000"/>
          <w:szCs w:val="24"/>
        </w:rPr>
        <w:t>aprobó diferentes</w:t>
      </w:r>
      <w:r w:rsidRPr="007C0A85">
        <w:rPr>
          <w:color w:val="000000"/>
          <w:szCs w:val="24"/>
        </w:rPr>
        <w:t xml:space="preserve"> propuesta</w:t>
      </w:r>
      <w:r w:rsidR="00616C21" w:rsidRPr="007C0A85">
        <w:rPr>
          <w:color w:val="000000"/>
          <w:szCs w:val="24"/>
        </w:rPr>
        <w:t>s</w:t>
      </w:r>
      <w:r w:rsidRPr="007C0A85">
        <w:rPr>
          <w:color w:val="000000"/>
          <w:szCs w:val="24"/>
        </w:rPr>
        <w:t xml:space="preserve"> de </w:t>
      </w:r>
      <w:r w:rsidR="00616C21" w:rsidRPr="007C0A85">
        <w:rPr>
          <w:color w:val="000000"/>
          <w:szCs w:val="24"/>
        </w:rPr>
        <w:t>incremento de</w:t>
      </w:r>
      <w:r w:rsidRPr="007C0A85">
        <w:rPr>
          <w:color w:val="000000"/>
          <w:szCs w:val="24"/>
        </w:rPr>
        <w:t xml:space="preserve"> los aportes, tal como surge del Acta N° </w:t>
      </w:r>
      <w:r w:rsidR="002257AE" w:rsidRPr="007C0A85">
        <w:rPr>
          <w:color w:val="000000"/>
          <w:szCs w:val="24"/>
        </w:rPr>
        <w:t>137</w:t>
      </w:r>
      <w:r w:rsidR="00231E18" w:rsidRPr="007C0A85">
        <w:rPr>
          <w:color w:val="000000"/>
          <w:szCs w:val="24"/>
        </w:rPr>
        <w:t xml:space="preserve"> de fecha </w:t>
      </w:r>
      <w:r w:rsidR="002257AE" w:rsidRPr="007C0A85">
        <w:rPr>
          <w:color w:val="000000"/>
          <w:szCs w:val="24"/>
        </w:rPr>
        <w:t>11/05/2023</w:t>
      </w:r>
      <w:r w:rsidR="00231E18" w:rsidRPr="007C0A85">
        <w:rPr>
          <w:color w:val="000000"/>
          <w:szCs w:val="24"/>
        </w:rPr>
        <w:t>.</w:t>
      </w:r>
    </w:p>
    <w:p w14:paraId="468C6520" w14:textId="5B056B7B" w:rsidR="000C72E5" w:rsidRPr="007C0A85" w:rsidRDefault="000C72E5" w:rsidP="00616C21">
      <w:pPr>
        <w:widowControl w:val="0"/>
        <w:autoSpaceDE w:val="0"/>
        <w:autoSpaceDN w:val="0"/>
        <w:adjustRightInd w:val="0"/>
        <w:spacing w:line="360" w:lineRule="auto"/>
        <w:ind w:firstLine="1843"/>
        <w:jc w:val="both"/>
        <w:rPr>
          <w:color w:val="000000"/>
          <w:szCs w:val="24"/>
        </w:rPr>
      </w:pPr>
      <w:r w:rsidRPr="007C0A85">
        <w:rPr>
          <w:color w:val="000000"/>
          <w:szCs w:val="24"/>
        </w:rPr>
        <w:t xml:space="preserve">Que </w:t>
      </w:r>
      <w:r w:rsidR="00F4581A" w:rsidRPr="007C0A85">
        <w:rPr>
          <w:color w:val="000000"/>
          <w:szCs w:val="24"/>
        </w:rPr>
        <w:t>dicha</w:t>
      </w:r>
      <w:r w:rsidR="00616C21" w:rsidRPr="007C0A85">
        <w:rPr>
          <w:color w:val="000000"/>
          <w:szCs w:val="24"/>
        </w:rPr>
        <w:t>s</w:t>
      </w:r>
      <w:r w:rsidR="00913992" w:rsidRPr="007C0A85">
        <w:rPr>
          <w:color w:val="000000"/>
          <w:szCs w:val="24"/>
        </w:rPr>
        <w:t xml:space="preserve"> propuesta</w:t>
      </w:r>
      <w:r w:rsidR="00616C21" w:rsidRPr="007C0A85">
        <w:rPr>
          <w:color w:val="000000"/>
          <w:szCs w:val="24"/>
        </w:rPr>
        <w:t>s</w:t>
      </w:r>
      <w:r w:rsidR="00913992" w:rsidRPr="007C0A85">
        <w:rPr>
          <w:color w:val="000000"/>
          <w:szCs w:val="24"/>
        </w:rPr>
        <w:t xml:space="preserve"> de adecuación fue</w:t>
      </w:r>
      <w:r w:rsidR="00616C21" w:rsidRPr="007C0A85">
        <w:rPr>
          <w:color w:val="000000"/>
          <w:szCs w:val="24"/>
        </w:rPr>
        <w:t>ron</w:t>
      </w:r>
      <w:r w:rsidR="00913992" w:rsidRPr="007C0A85">
        <w:rPr>
          <w:color w:val="000000"/>
          <w:szCs w:val="24"/>
        </w:rPr>
        <w:t xml:space="preserve"> sometida</w:t>
      </w:r>
      <w:r w:rsidR="00616C21" w:rsidRPr="007C0A85">
        <w:rPr>
          <w:color w:val="000000"/>
          <w:szCs w:val="24"/>
        </w:rPr>
        <w:t>s</w:t>
      </w:r>
      <w:r w:rsidR="00913992" w:rsidRPr="007C0A85">
        <w:rPr>
          <w:color w:val="000000"/>
          <w:szCs w:val="24"/>
        </w:rPr>
        <w:t xml:space="preserve"> a</w:t>
      </w:r>
      <w:r w:rsidR="00F4581A" w:rsidRPr="007C0A85">
        <w:rPr>
          <w:color w:val="000000"/>
          <w:szCs w:val="24"/>
        </w:rPr>
        <w:t xml:space="preserve"> </w:t>
      </w:r>
      <w:r w:rsidRPr="007C0A85">
        <w:rPr>
          <w:color w:val="000000"/>
          <w:szCs w:val="24"/>
        </w:rPr>
        <w:t xml:space="preserve">la Asamblea </w:t>
      </w:r>
      <w:r w:rsidR="00913992" w:rsidRPr="007C0A85">
        <w:rPr>
          <w:color w:val="000000"/>
          <w:szCs w:val="24"/>
        </w:rPr>
        <w:t xml:space="preserve">Ordinaria </w:t>
      </w:r>
      <w:r w:rsidRPr="007C0A85">
        <w:rPr>
          <w:color w:val="000000"/>
          <w:szCs w:val="24"/>
        </w:rPr>
        <w:t>de Afiliados</w:t>
      </w:r>
      <w:r w:rsidR="00913992" w:rsidRPr="007C0A85">
        <w:rPr>
          <w:color w:val="000000"/>
          <w:szCs w:val="24"/>
        </w:rPr>
        <w:t xml:space="preserve"> </w:t>
      </w:r>
      <w:r w:rsidRPr="007C0A85">
        <w:rPr>
          <w:color w:val="000000"/>
          <w:szCs w:val="24"/>
        </w:rPr>
        <w:t xml:space="preserve">celebrada el día </w:t>
      </w:r>
      <w:r w:rsidR="00DE6096" w:rsidRPr="007C0A85">
        <w:rPr>
          <w:color w:val="000000"/>
          <w:szCs w:val="24"/>
        </w:rPr>
        <w:t>14</w:t>
      </w:r>
      <w:r w:rsidR="00F76053" w:rsidRPr="007C0A85">
        <w:rPr>
          <w:color w:val="000000"/>
          <w:szCs w:val="24"/>
        </w:rPr>
        <w:t xml:space="preserve"> de </w:t>
      </w:r>
      <w:r w:rsidR="00DE6096" w:rsidRPr="007C0A85">
        <w:rPr>
          <w:color w:val="000000"/>
          <w:szCs w:val="24"/>
        </w:rPr>
        <w:t>junio</w:t>
      </w:r>
      <w:r w:rsidRPr="007C0A85">
        <w:rPr>
          <w:color w:val="000000"/>
          <w:szCs w:val="24"/>
        </w:rPr>
        <w:t xml:space="preserve"> de </w:t>
      </w:r>
      <w:r w:rsidR="00F4581A" w:rsidRPr="007C0A85">
        <w:rPr>
          <w:color w:val="000000"/>
          <w:szCs w:val="24"/>
        </w:rPr>
        <w:t>20</w:t>
      </w:r>
      <w:r w:rsidR="00913992" w:rsidRPr="007C0A85">
        <w:rPr>
          <w:color w:val="000000"/>
          <w:szCs w:val="24"/>
        </w:rPr>
        <w:t>2</w:t>
      </w:r>
      <w:r w:rsidR="00DE6096" w:rsidRPr="007C0A85">
        <w:rPr>
          <w:color w:val="000000"/>
          <w:szCs w:val="24"/>
        </w:rPr>
        <w:t>3</w:t>
      </w:r>
      <w:r w:rsidRPr="007C0A85">
        <w:rPr>
          <w:color w:val="000000"/>
          <w:szCs w:val="24"/>
        </w:rPr>
        <w:t>,</w:t>
      </w:r>
      <w:r w:rsidR="00F4581A" w:rsidRPr="007C0A85">
        <w:rPr>
          <w:color w:val="000000"/>
          <w:szCs w:val="24"/>
        </w:rPr>
        <w:t xml:space="preserve"> </w:t>
      </w:r>
      <w:r w:rsidR="00697556" w:rsidRPr="007C0A85">
        <w:rPr>
          <w:color w:val="000000"/>
          <w:szCs w:val="24"/>
        </w:rPr>
        <w:t>que</w:t>
      </w:r>
      <w:r w:rsidR="00913992" w:rsidRPr="007C0A85">
        <w:rPr>
          <w:color w:val="000000"/>
          <w:szCs w:val="24"/>
        </w:rPr>
        <w:t xml:space="preserve"> -luego de dar tratamiento a la misma</w:t>
      </w:r>
      <w:r w:rsidR="00677272" w:rsidRPr="007C0A85">
        <w:rPr>
          <w:color w:val="000000"/>
          <w:szCs w:val="24"/>
        </w:rPr>
        <w:t>- finalmente dispuso un aumento por una escala inferior</w:t>
      </w:r>
      <w:r w:rsidR="00030F00" w:rsidRPr="007C0A85">
        <w:rPr>
          <w:color w:val="000000"/>
          <w:szCs w:val="24"/>
        </w:rPr>
        <w:t xml:space="preserve"> a la propuesta</w:t>
      </w:r>
      <w:r w:rsidR="00677272" w:rsidRPr="007C0A85">
        <w:rPr>
          <w:color w:val="000000"/>
          <w:szCs w:val="24"/>
        </w:rPr>
        <w:t xml:space="preserve">, </w:t>
      </w:r>
      <w:r w:rsidR="00913992" w:rsidRPr="007C0A85">
        <w:rPr>
          <w:color w:val="000000"/>
          <w:szCs w:val="24"/>
        </w:rPr>
        <w:t>que lleva el aporte de la categoría máxima a</w:t>
      </w:r>
      <w:r w:rsidR="00697556" w:rsidRPr="007C0A85">
        <w:rPr>
          <w:color w:val="000000"/>
          <w:szCs w:val="24"/>
        </w:rPr>
        <w:t xml:space="preserve"> la suma de</w:t>
      </w:r>
      <w:r w:rsidR="00913992" w:rsidRPr="007C0A85">
        <w:rPr>
          <w:color w:val="000000"/>
          <w:szCs w:val="24"/>
        </w:rPr>
        <w:t xml:space="preserve"> $ </w:t>
      </w:r>
      <w:r w:rsidR="00DE6096" w:rsidRPr="007C0A85">
        <w:rPr>
          <w:color w:val="000000"/>
          <w:szCs w:val="24"/>
        </w:rPr>
        <w:t>2</w:t>
      </w:r>
      <w:r w:rsidR="00913992" w:rsidRPr="007C0A85">
        <w:rPr>
          <w:color w:val="000000"/>
          <w:szCs w:val="24"/>
        </w:rPr>
        <w:t>0.000</w:t>
      </w:r>
      <w:r w:rsidR="00697556" w:rsidRPr="007C0A85">
        <w:rPr>
          <w:color w:val="000000"/>
          <w:szCs w:val="24"/>
        </w:rPr>
        <w:t>,00</w:t>
      </w:r>
      <w:r w:rsidRPr="007C0A85">
        <w:rPr>
          <w:color w:val="000000"/>
          <w:szCs w:val="24"/>
        </w:rPr>
        <w:t>;</w:t>
      </w:r>
    </w:p>
    <w:p w14:paraId="13105F15" w14:textId="396E222F" w:rsidR="000C72E5" w:rsidRPr="007C0A85" w:rsidRDefault="000C72E5" w:rsidP="00616C21">
      <w:pPr>
        <w:widowControl w:val="0"/>
        <w:autoSpaceDE w:val="0"/>
        <w:autoSpaceDN w:val="0"/>
        <w:adjustRightInd w:val="0"/>
        <w:spacing w:line="360" w:lineRule="auto"/>
        <w:ind w:firstLine="1843"/>
        <w:jc w:val="both"/>
        <w:rPr>
          <w:color w:val="000000"/>
          <w:szCs w:val="24"/>
        </w:rPr>
      </w:pPr>
      <w:r w:rsidRPr="007C0A85">
        <w:rPr>
          <w:color w:val="000000"/>
          <w:szCs w:val="24"/>
        </w:rPr>
        <w:t xml:space="preserve">Que conforme el considerando anterior, se resolvió que el importe del haber del </w:t>
      </w:r>
      <w:r w:rsidR="00677272" w:rsidRPr="007C0A85">
        <w:rPr>
          <w:color w:val="000000"/>
          <w:szCs w:val="24"/>
        </w:rPr>
        <w:t xml:space="preserve">Subsidio Universal de Jubilaciones Ordinarias </w:t>
      </w:r>
      <w:r w:rsidR="00030F00" w:rsidRPr="007C0A85">
        <w:rPr>
          <w:color w:val="000000"/>
          <w:szCs w:val="24"/>
        </w:rPr>
        <w:t>se ajustará</w:t>
      </w:r>
      <w:r w:rsidR="00C039EC" w:rsidRPr="007C0A85">
        <w:rPr>
          <w:color w:val="000000"/>
          <w:szCs w:val="24"/>
        </w:rPr>
        <w:t xml:space="preserve"> en la proporción que se  </w:t>
      </w:r>
      <w:r w:rsidRPr="007C0A85">
        <w:rPr>
          <w:color w:val="000000"/>
          <w:szCs w:val="24"/>
        </w:rPr>
        <w:t xml:space="preserve"> </w:t>
      </w:r>
      <w:r w:rsidR="00C039EC" w:rsidRPr="007C0A85">
        <w:rPr>
          <w:color w:val="000000"/>
          <w:szCs w:val="24"/>
        </w:rPr>
        <w:t xml:space="preserve">determine actuarialmente de acuerdo a la nueva escala de aporte </w:t>
      </w:r>
      <w:r w:rsidRPr="007C0A85">
        <w:rPr>
          <w:color w:val="000000"/>
          <w:szCs w:val="24"/>
        </w:rPr>
        <w:t>y en los mismos tiempos</w:t>
      </w:r>
      <w:r w:rsidR="00F76053" w:rsidRPr="007C0A85">
        <w:rPr>
          <w:color w:val="000000"/>
          <w:szCs w:val="24"/>
        </w:rPr>
        <w:t xml:space="preserve"> en que se ajusten los aportes;</w:t>
      </w:r>
    </w:p>
    <w:p w14:paraId="761C7607" w14:textId="0D5F0B49" w:rsidR="000C72E5" w:rsidRPr="007C0A85" w:rsidRDefault="000C72E5" w:rsidP="00616C21">
      <w:pPr>
        <w:widowControl w:val="0"/>
        <w:autoSpaceDE w:val="0"/>
        <w:autoSpaceDN w:val="0"/>
        <w:adjustRightInd w:val="0"/>
        <w:spacing w:line="360" w:lineRule="auto"/>
        <w:ind w:firstLine="1843"/>
        <w:jc w:val="both"/>
        <w:rPr>
          <w:color w:val="000000"/>
          <w:szCs w:val="24"/>
        </w:rPr>
      </w:pPr>
      <w:r w:rsidRPr="007C0A85">
        <w:rPr>
          <w:color w:val="000000"/>
          <w:szCs w:val="24"/>
        </w:rPr>
        <w:t xml:space="preserve">Que por </w:t>
      </w:r>
      <w:r w:rsidR="00697556" w:rsidRPr="007C0A85">
        <w:rPr>
          <w:color w:val="000000"/>
          <w:szCs w:val="24"/>
        </w:rPr>
        <w:t xml:space="preserve">lo </w:t>
      </w:r>
      <w:r w:rsidRPr="007C0A85">
        <w:rPr>
          <w:color w:val="000000"/>
          <w:szCs w:val="24"/>
        </w:rPr>
        <w:t>expuesto y en uso de las facultades propias;</w:t>
      </w:r>
    </w:p>
    <w:p w14:paraId="3CE8DCBC" w14:textId="77777777" w:rsidR="000C72E5" w:rsidRPr="007C0A85" w:rsidRDefault="000C72E5" w:rsidP="00616C21">
      <w:pPr>
        <w:widowControl w:val="0"/>
        <w:autoSpaceDE w:val="0"/>
        <w:autoSpaceDN w:val="0"/>
        <w:adjustRightInd w:val="0"/>
        <w:spacing w:line="360" w:lineRule="auto"/>
        <w:jc w:val="center"/>
        <w:rPr>
          <w:b/>
          <w:bCs/>
          <w:color w:val="000000"/>
          <w:szCs w:val="24"/>
        </w:rPr>
      </w:pPr>
    </w:p>
    <w:p w14:paraId="4C68EB3E" w14:textId="77777777" w:rsidR="000C72E5" w:rsidRPr="007C0A85" w:rsidRDefault="000C72E5" w:rsidP="00616C21">
      <w:pPr>
        <w:widowControl w:val="0"/>
        <w:autoSpaceDE w:val="0"/>
        <w:autoSpaceDN w:val="0"/>
        <w:adjustRightInd w:val="0"/>
        <w:spacing w:line="360" w:lineRule="auto"/>
        <w:jc w:val="center"/>
        <w:rPr>
          <w:b/>
          <w:bCs/>
          <w:color w:val="000000"/>
          <w:szCs w:val="24"/>
        </w:rPr>
      </w:pPr>
      <w:r w:rsidRPr="007C0A85">
        <w:rPr>
          <w:b/>
          <w:bCs/>
          <w:color w:val="000000"/>
          <w:szCs w:val="24"/>
        </w:rPr>
        <w:t xml:space="preserve">EL DIRECTORIO DE LA CAJA PREVISIONAL </w:t>
      </w:r>
    </w:p>
    <w:p w14:paraId="70158648" w14:textId="77777777" w:rsidR="000C72E5" w:rsidRPr="007C0A85" w:rsidRDefault="000C72E5" w:rsidP="00616C21">
      <w:pPr>
        <w:widowControl w:val="0"/>
        <w:autoSpaceDE w:val="0"/>
        <w:autoSpaceDN w:val="0"/>
        <w:adjustRightInd w:val="0"/>
        <w:spacing w:line="360" w:lineRule="auto"/>
        <w:jc w:val="center"/>
        <w:rPr>
          <w:b/>
          <w:bCs/>
          <w:color w:val="000000"/>
          <w:szCs w:val="24"/>
        </w:rPr>
      </w:pPr>
      <w:r w:rsidRPr="007C0A85">
        <w:rPr>
          <w:b/>
          <w:bCs/>
          <w:color w:val="000000"/>
          <w:szCs w:val="24"/>
        </w:rPr>
        <w:t>PARA PROFESIONALES DE LA PROVINCIA DE NEUQUEN</w:t>
      </w:r>
    </w:p>
    <w:p w14:paraId="04CD736B" w14:textId="77777777" w:rsidR="000C72E5" w:rsidRPr="007C0A85" w:rsidRDefault="000C72E5" w:rsidP="00616C21">
      <w:pPr>
        <w:widowControl w:val="0"/>
        <w:autoSpaceDE w:val="0"/>
        <w:autoSpaceDN w:val="0"/>
        <w:adjustRightInd w:val="0"/>
        <w:spacing w:line="360" w:lineRule="auto"/>
        <w:jc w:val="center"/>
        <w:rPr>
          <w:b/>
          <w:bCs/>
          <w:color w:val="000000"/>
          <w:szCs w:val="24"/>
        </w:rPr>
      </w:pPr>
      <w:r w:rsidRPr="007C0A85">
        <w:rPr>
          <w:b/>
          <w:bCs/>
          <w:color w:val="000000"/>
          <w:szCs w:val="24"/>
        </w:rPr>
        <w:lastRenderedPageBreak/>
        <w:t>RESUELVE:</w:t>
      </w:r>
    </w:p>
    <w:p w14:paraId="58D17BB4" w14:textId="77777777" w:rsidR="000C72E5" w:rsidRPr="007C0A85" w:rsidRDefault="000C72E5" w:rsidP="00616C21">
      <w:pPr>
        <w:widowControl w:val="0"/>
        <w:autoSpaceDE w:val="0"/>
        <w:autoSpaceDN w:val="0"/>
        <w:adjustRightInd w:val="0"/>
        <w:spacing w:line="360" w:lineRule="auto"/>
        <w:ind w:firstLine="2268"/>
        <w:jc w:val="both"/>
        <w:rPr>
          <w:color w:val="000000"/>
          <w:szCs w:val="24"/>
        </w:rPr>
      </w:pPr>
    </w:p>
    <w:p w14:paraId="2017333C" w14:textId="419C8B98" w:rsidR="00616C21" w:rsidRPr="007C0A85" w:rsidRDefault="000C72E5" w:rsidP="00616C21">
      <w:pPr>
        <w:widowControl w:val="0"/>
        <w:autoSpaceDE w:val="0"/>
        <w:autoSpaceDN w:val="0"/>
        <w:adjustRightInd w:val="0"/>
        <w:spacing w:line="360" w:lineRule="auto"/>
        <w:jc w:val="both"/>
        <w:rPr>
          <w:b/>
          <w:bCs/>
          <w:color w:val="000000"/>
          <w:szCs w:val="24"/>
          <w:u w:val="single"/>
        </w:rPr>
      </w:pPr>
      <w:r w:rsidRPr="007C0A85">
        <w:rPr>
          <w:b/>
          <w:bCs/>
          <w:color w:val="000000"/>
          <w:szCs w:val="24"/>
          <w:u w:val="single"/>
        </w:rPr>
        <w:t>Artículo 1</w:t>
      </w:r>
      <w:r w:rsidR="00616C21" w:rsidRPr="007C0A85">
        <w:rPr>
          <w:b/>
          <w:bCs/>
          <w:color w:val="000000"/>
          <w:szCs w:val="24"/>
          <w:u w:val="single"/>
        </w:rPr>
        <w:t>°</w:t>
      </w:r>
      <w:r w:rsidRPr="007C0A85">
        <w:rPr>
          <w:b/>
          <w:bCs/>
          <w:color w:val="000000"/>
          <w:szCs w:val="24"/>
          <w:u w:val="single"/>
        </w:rPr>
        <w:t>:</w:t>
      </w:r>
      <w:r w:rsidRPr="007C0A85">
        <w:rPr>
          <w:b/>
          <w:bCs/>
          <w:color w:val="000000"/>
          <w:szCs w:val="24"/>
        </w:rPr>
        <w:t xml:space="preserve"> INCREMENTAR </w:t>
      </w:r>
      <w:r w:rsidRPr="007C0A85">
        <w:rPr>
          <w:color w:val="000000"/>
          <w:szCs w:val="24"/>
        </w:rPr>
        <w:t>los aportes obligatorios mínimos mensuales establecidos en el art. 52 de la Ley 2.223 que deberá efectuar el afiliado en conformidad a los valores y a partir de la fecha determinada en la tabla que se transcribe en el a</w:t>
      </w:r>
      <w:r w:rsidR="00F76053" w:rsidRPr="007C0A85">
        <w:rPr>
          <w:color w:val="000000"/>
          <w:szCs w:val="24"/>
        </w:rPr>
        <w:t>r</w:t>
      </w:r>
      <w:r w:rsidR="00616C21" w:rsidRPr="007C0A85">
        <w:rPr>
          <w:color w:val="000000"/>
          <w:szCs w:val="24"/>
        </w:rPr>
        <w:t>tículo 2° de la presente norma.</w:t>
      </w:r>
      <w:bookmarkStart w:id="0" w:name="_GoBack"/>
      <w:bookmarkEnd w:id="0"/>
    </w:p>
    <w:p w14:paraId="0CA631E9" w14:textId="039256C3" w:rsidR="000C72E5" w:rsidRPr="007C0A85" w:rsidRDefault="000C72E5" w:rsidP="00616C21">
      <w:pPr>
        <w:widowControl w:val="0"/>
        <w:autoSpaceDE w:val="0"/>
        <w:autoSpaceDN w:val="0"/>
        <w:adjustRightInd w:val="0"/>
        <w:spacing w:line="360" w:lineRule="auto"/>
        <w:jc w:val="both"/>
        <w:rPr>
          <w:bCs/>
          <w:color w:val="000000"/>
          <w:szCs w:val="24"/>
        </w:rPr>
      </w:pPr>
      <w:r w:rsidRPr="007C0A85">
        <w:rPr>
          <w:b/>
          <w:bCs/>
          <w:color w:val="000000"/>
          <w:szCs w:val="24"/>
          <w:u w:val="single"/>
        </w:rPr>
        <w:t>Artículo 2°:</w:t>
      </w:r>
      <w:r w:rsidRPr="007C0A85">
        <w:rPr>
          <w:bCs/>
          <w:color w:val="000000"/>
          <w:szCs w:val="24"/>
        </w:rPr>
        <w:t xml:space="preserve"> Fijar en consecuencia la siguiente tabla de aportes:</w:t>
      </w:r>
    </w:p>
    <w:tbl>
      <w:tblPr>
        <w:tblpPr w:leftFromText="141" w:rightFromText="141" w:vertAnchor="text" w:horzAnchor="page" w:tblpX="2892" w:tblpY="146"/>
        <w:tblW w:w="3823" w:type="dxa"/>
        <w:tblCellMar>
          <w:left w:w="70" w:type="dxa"/>
          <w:right w:w="70" w:type="dxa"/>
        </w:tblCellMar>
        <w:tblLook w:val="0000" w:firstRow="0" w:lastRow="0" w:firstColumn="0" w:lastColumn="0" w:noHBand="0" w:noVBand="0"/>
      </w:tblPr>
      <w:tblGrid>
        <w:gridCol w:w="1800"/>
        <w:gridCol w:w="2023"/>
      </w:tblGrid>
      <w:tr w:rsidR="00913992" w:rsidRPr="007C0A85" w14:paraId="568A5BEB" w14:textId="77777777" w:rsidTr="00030F00">
        <w:trPr>
          <w:trHeight w:val="13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CA29C" w14:textId="77777777" w:rsidR="00913992" w:rsidRPr="007C0A85" w:rsidRDefault="00913992" w:rsidP="00030F00">
            <w:pPr>
              <w:spacing w:before="240" w:line="360" w:lineRule="auto"/>
              <w:rPr>
                <w:b/>
                <w:szCs w:val="24"/>
              </w:rPr>
            </w:pPr>
            <w:r w:rsidRPr="007C0A85">
              <w:rPr>
                <w:b/>
                <w:szCs w:val="24"/>
              </w:rPr>
              <w:t xml:space="preserve">Edad de aporte </w:t>
            </w:r>
          </w:p>
          <w:p w14:paraId="5ED55FBB" w14:textId="322A640A" w:rsidR="00030F00" w:rsidRPr="007C0A85" w:rsidRDefault="00030F00" w:rsidP="00616C21">
            <w:pPr>
              <w:spacing w:line="360" w:lineRule="auto"/>
              <w:rPr>
                <w:b/>
                <w:szCs w:val="24"/>
              </w:rPr>
            </w:pPr>
          </w:p>
        </w:tc>
        <w:tc>
          <w:tcPr>
            <w:tcW w:w="2023" w:type="dxa"/>
            <w:tcBorders>
              <w:top w:val="single" w:sz="4" w:space="0" w:color="auto"/>
              <w:left w:val="nil"/>
              <w:bottom w:val="single" w:sz="4" w:space="0" w:color="auto"/>
              <w:right w:val="single" w:sz="4" w:space="0" w:color="auto"/>
            </w:tcBorders>
            <w:shd w:val="clear" w:color="auto" w:fill="auto"/>
            <w:noWrap/>
            <w:vAlign w:val="bottom"/>
          </w:tcPr>
          <w:p w14:paraId="2D806834" w14:textId="77777777" w:rsidR="00030F00" w:rsidRPr="007C0A85" w:rsidRDefault="00DE6096" w:rsidP="00030F00">
            <w:pPr>
              <w:spacing w:line="360" w:lineRule="auto"/>
              <w:jc w:val="center"/>
              <w:rPr>
                <w:b/>
                <w:szCs w:val="24"/>
              </w:rPr>
            </w:pPr>
            <w:r w:rsidRPr="007C0A85">
              <w:rPr>
                <w:b/>
                <w:szCs w:val="24"/>
              </w:rPr>
              <w:t>Ju</w:t>
            </w:r>
            <w:r w:rsidR="00030F00" w:rsidRPr="007C0A85">
              <w:rPr>
                <w:b/>
                <w:szCs w:val="24"/>
              </w:rPr>
              <w:t>n</w:t>
            </w:r>
            <w:r w:rsidRPr="007C0A85">
              <w:rPr>
                <w:b/>
                <w:szCs w:val="24"/>
              </w:rPr>
              <w:t>io</w:t>
            </w:r>
            <w:r w:rsidR="00913992" w:rsidRPr="007C0A85">
              <w:rPr>
                <w:b/>
                <w:szCs w:val="24"/>
              </w:rPr>
              <w:t xml:space="preserve"> </w:t>
            </w:r>
            <w:r w:rsidRPr="007C0A85">
              <w:rPr>
                <w:b/>
                <w:szCs w:val="24"/>
              </w:rPr>
              <w:t>2023</w:t>
            </w:r>
            <w:r w:rsidR="00030F00" w:rsidRPr="007C0A85">
              <w:rPr>
                <w:b/>
                <w:szCs w:val="24"/>
              </w:rPr>
              <w:t xml:space="preserve"> </w:t>
            </w:r>
          </w:p>
          <w:p w14:paraId="3AC66997" w14:textId="3B14F178" w:rsidR="00913992" w:rsidRPr="007C0A85" w:rsidRDefault="00030F00" w:rsidP="00030F00">
            <w:pPr>
              <w:spacing w:line="360" w:lineRule="auto"/>
              <w:jc w:val="center"/>
              <w:rPr>
                <w:b/>
                <w:szCs w:val="24"/>
              </w:rPr>
            </w:pPr>
            <w:r w:rsidRPr="007C0A85">
              <w:rPr>
                <w:b/>
                <w:szCs w:val="24"/>
              </w:rPr>
              <w:t>(Vto. julio/2023)</w:t>
            </w:r>
          </w:p>
        </w:tc>
      </w:tr>
      <w:tr w:rsidR="00913992" w:rsidRPr="007C0A85" w14:paraId="4201A2A0" w14:textId="77777777" w:rsidTr="00030F00">
        <w:trPr>
          <w:trHeight w:val="264"/>
        </w:trPr>
        <w:tc>
          <w:tcPr>
            <w:tcW w:w="1800" w:type="dxa"/>
            <w:tcBorders>
              <w:top w:val="nil"/>
              <w:left w:val="single" w:sz="4" w:space="0" w:color="auto"/>
              <w:bottom w:val="single" w:sz="4" w:space="0" w:color="auto"/>
              <w:right w:val="single" w:sz="4" w:space="0" w:color="auto"/>
            </w:tcBorders>
            <w:shd w:val="clear" w:color="auto" w:fill="auto"/>
            <w:noWrap/>
            <w:vAlign w:val="bottom"/>
          </w:tcPr>
          <w:p w14:paraId="14F52AEE" w14:textId="77777777" w:rsidR="00913992" w:rsidRPr="007C0A85" w:rsidRDefault="00913992" w:rsidP="00616C21">
            <w:pPr>
              <w:spacing w:line="360" w:lineRule="auto"/>
              <w:rPr>
                <w:b/>
                <w:szCs w:val="24"/>
              </w:rPr>
            </w:pPr>
            <w:r w:rsidRPr="007C0A85">
              <w:rPr>
                <w:b/>
                <w:szCs w:val="24"/>
              </w:rPr>
              <w:t>Hasta 32 años</w:t>
            </w:r>
          </w:p>
        </w:tc>
        <w:tc>
          <w:tcPr>
            <w:tcW w:w="2023" w:type="dxa"/>
            <w:tcBorders>
              <w:top w:val="nil"/>
              <w:left w:val="nil"/>
              <w:bottom w:val="single" w:sz="4" w:space="0" w:color="auto"/>
              <w:right w:val="single" w:sz="4" w:space="0" w:color="auto"/>
            </w:tcBorders>
            <w:shd w:val="clear" w:color="auto" w:fill="auto"/>
            <w:noWrap/>
            <w:vAlign w:val="bottom"/>
          </w:tcPr>
          <w:p w14:paraId="1C7C96CC" w14:textId="5F1DAE06" w:rsidR="00913992" w:rsidRPr="007C0A85" w:rsidRDefault="00DE6096" w:rsidP="00616C21">
            <w:pPr>
              <w:spacing w:line="360" w:lineRule="auto"/>
              <w:jc w:val="center"/>
              <w:rPr>
                <w:b/>
                <w:szCs w:val="24"/>
              </w:rPr>
            </w:pPr>
            <w:r w:rsidRPr="007C0A85">
              <w:rPr>
                <w:b/>
                <w:szCs w:val="24"/>
              </w:rPr>
              <w:t>10.000</w:t>
            </w:r>
          </w:p>
        </w:tc>
      </w:tr>
      <w:tr w:rsidR="00913992" w:rsidRPr="007C0A85" w14:paraId="55EE99EF" w14:textId="77777777" w:rsidTr="00030F00">
        <w:trPr>
          <w:trHeight w:val="264"/>
        </w:trPr>
        <w:tc>
          <w:tcPr>
            <w:tcW w:w="1800" w:type="dxa"/>
            <w:tcBorders>
              <w:top w:val="nil"/>
              <w:left w:val="single" w:sz="4" w:space="0" w:color="auto"/>
              <w:bottom w:val="single" w:sz="4" w:space="0" w:color="auto"/>
              <w:right w:val="single" w:sz="4" w:space="0" w:color="auto"/>
            </w:tcBorders>
            <w:shd w:val="clear" w:color="auto" w:fill="auto"/>
            <w:noWrap/>
            <w:vAlign w:val="bottom"/>
          </w:tcPr>
          <w:p w14:paraId="53C8AE7D" w14:textId="77777777" w:rsidR="00913992" w:rsidRPr="007C0A85" w:rsidRDefault="00913992" w:rsidP="00616C21">
            <w:pPr>
              <w:spacing w:line="360" w:lineRule="auto"/>
              <w:rPr>
                <w:b/>
                <w:szCs w:val="24"/>
              </w:rPr>
            </w:pPr>
            <w:r w:rsidRPr="007C0A85">
              <w:rPr>
                <w:b/>
                <w:szCs w:val="24"/>
              </w:rPr>
              <w:t>33 a 34</w:t>
            </w:r>
          </w:p>
        </w:tc>
        <w:tc>
          <w:tcPr>
            <w:tcW w:w="2023" w:type="dxa"/>
            <w:tcBorders>
              <w:top w:val="nil"/>
              <w:left w:val="nil"/>
              <w:bottom w:val="single" w:sz="4" w:space="0" w:color="auto"/>
              <w:right w:val="single" w:sz="4" w:space="0" w:color="auto"/>
            </w:tcBorders>
            <w:shd w:val="clear" w:color="auto" w:fill="auto"/>
            <w:noWrap/>
            <w:vAlign w:val="bottom"/>
          </w:tcPr>
          <w:p w14:paraId="54DACD7F" w14:textId="1ACDDCDC" w:rsidR="00913992" w:rsidRPr="007C0A85" w:rsidRDefault="00DE6096" w:rsidP="00616C21">
            <w:pPr>
              <w:spacing w:line="360" w:lineRule="auto"/>
              <w:jc w:val="center"/>
              <w:rPr>
                <w:b/>
                <w:szCs w:val="24"/>
              </w:rPr>
            </w:pPr>
            <w:r w:rsidRPr="007C0A85">
              <w:rPr>
                <w:b/>
                <w:szCs w:val="24"/>
              </w:rPr>
              <w:t>12.000</w:t>
            </w:r>
          </w:p>
        </w:tc>
      </w:tr>
      <w:tr w:rsidR="00913992" w:rsidRPr="007C0A85" w14:paraId="2B48657B" w14:textId="77777777" w:rsidTr="00030F00">
        <w:trPr>
          <w:trHeight w:val="264"/>
        </w:trPr>
        <w:tc>
          <w:tcPr>
            <w:tcW w:w="1800" w:type="dxa"/>
            <w:tcBorders>
              <w:top w:val="nil"/>
              <w:left w:val="single" w:sz="4" w:space="0" w:color="auto"/>
              <w:bottom w:val="single" w:sz="4" w:space="0" w:color="auto"/>
              <w:right w:val="single" w:sz="4" w:space="0" w:color="auto"/>
            </w:tcBorders>
            <w:shd w:val="clear" w:color="auto" w:fill="auto"/>
            <w:noWrap/>
            <w:vAlign w:val="bottom"/>
          </w:tcPr>
          <w:p w14:paraId="3D943B05" w14:textId="77777777" w:rsidR="00913992" w:rsidRPr="007C0A85" w:rsidRDefault="00913992" w:rsidP="00616C21">
            <w:pPr>
              <w:spacing w:line="360" w:lineRule="auto"/>
              <w:rPr>
                <w:b/>
                <w:szCs w:val="24"/>
              </w:rPr>
            </w:pPr>
            <w:r w:rsidRPr="007C0A85">
              <w:rPr>
                <w:b/>
                <w:szCs w:val="24"/>
              </w:rPr>
              <w:t>35 a 36</w:t>
            </w:r>
          </w:p>
        </w:tc>
        <w:tc>
          <w:tcPr>
            <w:tcW w:w="2023" w:type="dxa"/>
            <w:tcBorders>
              <w:top w:val="nil"/>
              <w:left w:val="nil"/>
              <w:bottom w:val="single" w:sz="4" w:space="0" w:color="auto"/>
              <w:right w:val="single" w:sz="4" w:space="0" w:color="auto"/>
            </w:tcBorders>
            <w:shd w:val="clear" w:color="auto" w:fill="auto"/>
            <w:noWrap/>
            <w:vAlign w:val="bottom"/>
          </w:tcPr>
          <w:p w14:paraId="7AA8F672" w14:textId="30CB4C76" w:rsidR="00913992" w:rsidRPr="007C0A85" w:rsidRDefault="00DE6096" w:rsidP="00616C21">
            <w:pPr>
              <w:spacing w:line="360" w:lineRule="auto"/>
              <w:jc w:val="center"/>
              <w:rPr>
                <w:b/>
                <w:szCs w:val="24"/>
              </w:rPr>
            </w:pPr>
            <w:r w:rsidRPr="007C0A85">
              <w:rPr>
                <w:b/>
                <w:szCs w:val="24"/>
              </w:rPr>
              <w:t>14.000</w:t>
            </w:r>
          </w:p>
        </w:tc>
      </w:tr>
      <w:tr w:rsidR="00913992" w:rsidRPr="007C0A85" w14:paraId="21391C6D" w14:textId="77777777" w:rsidTr="00030F00">
        <w:trPr>
          <w:trHeight w:val="264"/>
        </w:trPr>
        <w:tc>
          <w:tcPr>
            <w:tcW w:w="1800" w:type="dxa"/>
            <w:tcBorders>
              <w:top w:val="nil"/>
              <w:left w:val="single" w:sz="4" w:space="0" w:color="auto"/>
              <w:bottom w:val="single" w:sz="4" w:space="0" w:color="auto"/>
              <w:right w:val="single" w:sz="4" w:space="0" w:color="auto"/>
            </w:tcBorders>
            <w:shd w:val="clear" w:color="auto" w:fill="auto"/>
            <w:noWrap/>
            <w:vAlign w:val="bottom"/>
          </w:tcPr>
          <w:p w14:paraId="1369F315" w14:textId="77777777" w:rsidR="00913992" w:rsidRPr="007C0A85" w:rsidRDefault="00913992" w:rsidP="00616C21">
            <w:pPr>
              <w:spacing w:line="360" w:lineRule="auto"/>
              <w:rPr>
                <w:b/>
                <w:szCs w:val="24"/>
              </w:rPr>
            </w:pPr>
            <w:r w:rsidRPr="007C0A85">
              <w:rPr>
                <w:b/>
                <w:szCs w:val="24"/>
              </w:rPr>
              <w:t>37 a 38</w:t>
            </w:r>
          </w:p>
        </w:tc>
        <w:tc>
          <w:tcPr>
            <w:tcW w:w="2023" w:type="dxa"/>
            <w:tcBorders>
              <w:top w:val="nil"/>
              <w:left w:val="nil"/>
              <w:bottom w:val="single" w:sz="4" w:space="0" w:color="auto"/>
              <w:right w:val="single" w:sz="4" w:space="0" w:color="auto"/>
            </w:tcBorders>
            <w:shd w:val="clear" w:color="auto" w:fill="auto"/>
            <w:noWrap/>
            <w:vAlign w:val="bottom"/>
          </w:tcPr>
          <w:p w14:paraId="629F31F9" w14:textId="0074CCBB" w:rsidR="00913992" w:rsidRPr="007C0A85" w:rsidRDefault="00DE6096" w:rsidP="00616C21">
            <w:pPr>
              <w:spacing w:line="360" w:lineRule="auto"/>
              <w:jc w:val="center"/>
              <w:rPr>
                <w:b/>
                <w:szCs w:val="24"/>
              </w:rPr>
            </w:pPr>
            <w:r w:rsidRPr="007C0A85">
              <w:rPr>
                <w:b/>
                <w:szCs w:val="24"/>
              </w:rPr>
              <w:t>16.000</w:t>
            </w:r>
          </w:p>
        </w:tc>
      </w:tr>
      <w:tr w:rsidR="00913992" w:rsidRPr="007C0A85" w14:paraId="1C4F0BA3" w14:textId="77777777" w:rsidTr="00030F00">
        <w:trPr>
          <w:trHeight w:val="264"/>
        </w:trPr>
        <w:tc>
          <w:tcPr>
            <w:tcW w:w="1800" w:type="dxa"/>
            <w:tcBorders>
              <w:top w:val="nil"/>
              <w:left w:val="single" w:sz="4" w:space="0" w:color="auto"/>
              <w:bottom w:val="single" w:sz="4" w:space="0" w:color="auto"/>
              <w:right w:val="single" w:sz="4" w:space="0" w:color="auto"/>
            </w:tcBorders>
            <w:shd w:val="clear" w:color="auto" w:fill="auto"/>
            <w:noWrap/>
            <w:vAlign w:val="bottom"/>
          </w:tcPr>
          <w:p w14:paraId="27043C45" w14:textId="77777777" w:rsidR="00913992" w:rsidRPr="007C0A85" w:rsidRDefault="00913992" w:rsidP="00616C21">
            <w:pPr>
              <w:spacing w:line="360" w:lineRule="auto"/>
              <w:rPr>
                <w:b/>
                <w:szCs w:val="24"/>
              </w:rPr>
            </w:pPr>
            <w:r w:rsidRPr="007C0A85">
              <w:rPr>
                <w:b/>
                <w:szCs w:val="24"/>
              </w:rPr>
              <w:t>39 a 40</w:t>
            </w:r>
          </w:p>
        </w:tc>
        <w:tc>
          <w:tcPr>
            <w:tcW w:w="2023" w:type="dxa"/>
            <w:tcBorders>
              <w:top w:val="nil"/>
              <w:left w:val="nil"/>
              <w:bottom w:val="single" w:sz="4" w:space="0" w:color="auto"/>
              <w:right w:val="single" w:sz="4" w:space="0" w:color="auto"/>
            </w:tcBorders>
            <w:shd w:val="clear" w:color="auto" w:fill="auto"/>
            <w:noWrap/>
            <w:vAlign w:val="bottom"/>
          </w:tcPr>
          <w:p w14:paraId="6888DF28" w14:textId="710FA1A2" w:rsidR="00913992" w:rsidRPr="007C0A85" w:rsidRDefault="00DE6096" w:rsidP="00616C21">
            <w:pPr>
              <w:spacing w:line="360" w:lineRule="auto"/>
              <w:jc w:val="center"/>
              <w:rPr>
                <w:b/>
                <w:szCs w:val="24"/>
              </w:rPr>
            </w:pPr>
            <w:r w:rsidRPr="007C0A85">
              <w:rPr>
                <w:b/>
                <w:szCs w:val="24"/>
              </w:rPr>
              <w:t>18.000</w:t>
            </w:r>
          </w:p>
        </w:tc>
      </w:tr>
      <w:tr w:rsidR="00913992" w:rsidRPr="007C0A85" w14:paraId="7E2D3497" w14:textId="77777777" w:rsidTr="00030F00">
        <w:trPr>
          <w:trHeight w:val="264"/>
        </w:trPr>
        <w:tc>
          <w:tcPr>
            <w:tcW w:w="1800" w:type="dxa"/>
            <w:tcBorders>
              <w:top w:val="nil"/>
              <w:left w:val="single" w:sz="4" w:space="0" w:color="auto"/>
              <w:bottom w:val="single" w:sz="4" w:space="0" w:color="auto"/>
              <w:right w:val="single" w:sz="4" w:space="0" w:color="auto"/>
            </w:tcBorders>
            <w:shd w:val="clear" w:color="auto" w:fill="auto"/>
            <w:noWrap/>
            <w:vAlign w:val="bottom"/>
          </w:tcPr>
          <w:p w14:paraId="1F7E229D" w14:textId="77777777" w:rsidR="00913992" w:rsidRPr="007C0A85" w:rsidRDefault="00913992" w:rsidP="00616C21">
            <w:pPr>
              <w:spacing w:line="360" w:lineRule="auto"/>
              <w:rPr>
                <w:b/>
                <w:szCs w:val="24"/>
              </w:rPr>
            </w:pPr>
            <w:r w:rsidRPr="007C0A85">
              <w:rPr>
                <w:b/>
                <w:szCs w:val="24"/>
              </w:rPr>
              <w:t>Más de 40 años</w:t>
            </w:r>
          </w:p>
        </w:tc>
        <w:tc>
          <w:tcPr>
            <w:tcW w:w="2023" w:type="dxa"/>
            <w:tcBorders>
              <w:top w:val="nil"/>
              <w:left w:val="nil"/>
              <w:bottom w:val="single" w:sz="4" w:space="0" w:color="auto"/>
              <w:right w:val="single" w:sz="4" w:space="0" w:color="auto"/>
            </w:tcBorders>
            <w:shd w:val="clear" w:color="auto" w:fill="auto"/>
            <w:noWrap/>
            <w:vAlign w:val="bottom"/>
          </w:tcPr>
          <w:p w14:paraId="4502B5EE" w14:textId="0502D08E" w:rsidR="00913992" w:rsidRPr="007C0A85" w:rsidRDefault="00DE6096" w:rsidP="00616C21">
            <w:pPr>
              <w:spacing w:line="360" w:lineRule="auto"/>
              <w:jc w:val="center"/>
              <w:rPr>
                <w:b/>
                <w:szCs w:val="24"/>
              </w:rPr>
            </w:pPr>
            <w:r w:rsidRPr="007C0A85">
              <w:rPr>
                <w:b/>
                <w:szCs w:val="24"/>
              </w:rPr>
              <w:t>20.000</w:t>
            </w:r>
          </w:p>
        </w:tc>
      </w:tr>
    </w:tbl>
    <w:p w14:paraId="27477939" w14:textId="77777777" w:rsidR="000C72E5" w:rsidRPr="007C0A85" w:rsidRDefault="000C72E5" w:rsidP="00616C21">
      <w:pPr>
        <w:widowControl w:val="0"/>
        <w:autoSpaceDE w:val="0"/>
        <w:autoSpaceDN w:val="0"/>
        <w:adjustRightInd w:val="0"/>
        <w:spacing w:line="360" w:lineRule="auto"/>
        <w:jc w:val="both"/>
        <w:rPr>
          <w:b/>
          <w:bCs/>
          <w:color w:val="000000"/>
          <w:szCs w:val="24"/>
          <w:u w:val="single"/>
        </w:rPr>
      </w:pPr>
    </w:p>
    <w:p w14:paraId="7C0236A0" w14:textId="77777777" w:rsidR="000C72E5" w:rsidRPr="007C0A85" w:rsidRDefault="000C72E5" w:rsidP="00616C21">
      <w:pPr>
        <w:spacing w:line="360" w:lineRule="auto"/>
        <w:jc w:val="both"/>
        <w:rPr>
          <w:b/>
          <w:bCs/>
          <w:szCs w:val="24"/>
        </w:rPr>
      </w:pPr>
    </w:p>
    <w:p w14:paraId="7BF69DCB" w14:textId="77777777" w:rsidR="000C72E5" w:rsidRPr="007C0A85" w:rsidRDefault="000C72E5" w:rsidP="00616C21">
      <w:pPr>
        <w:spacing w:line="360" w:lineRule="auto"/>
        <w:jc w:val="both"/>
        <w:rPr>
          <w:szCs w:val="24"/>
        </w:rPr>
      </w:pPr>
    </w:p>
    <w:p w14:paraId="3F1076BF" w14:textId="77777777" w:rsidR="000C72E5" w:rsidRPr="007C0A85" w:rsidRDefault="000C72E5" w:rsidP="00616C21">
      <w:pPr>
        <w:widowControl w:val="0"/>
        <w:autoSpaceDE w:val="0"/>
        <w:autoSpaceDN w:val="0"/>
        <w:adjustRightInd w:val="0"/>
        <w:spacing w:line="360" w:lineRule="auto"/>
        <w:jc w:val="both"/>
        <w:rPr>
          <w:color w:val="000000"/>
          <w:szCs w:val="24"/>
        </w:rPr>
      </w:pPr>
    </w:p>
    <w:p w14:paraId="75A85CEB" w14:textId="77777777" w:rsidR="000C72E5" w:rsidRPr="007C0A85" w:rsidRDefault="000C72E5" w:rsidP="00616C21">
      <w:pPr>
        <w:widowControl w:val="0"/>
        <w:autoSpaceDE w:val="0"/>
        <w:autoSpaceDN w:val="0"/>
        <w:adjustRightInd w:val="0"/>
        <w:spacing w:line="360" w:lineRule="auto"/>
        <w:jc w:val="both"/>
        <w:rPr>
          <w:color w:val="000000"/>
          <w:szCs w:val="24"/>
        </w:rPr>
      </w:pPr>
    </w:p>
    <w:p w14:paraId="570193EA" w14:textId="77777777" w:rsidR="000C72E5" w:rsidRPr="007C0A85" w:rsidRDefault="000C72E5" w:rsidP="00616C21">
      <w:pPr>
        <w:widowControl w:val="0"/>
        <w:autoSpaceDE w:val="0"/>
        <w:autoSpaceDN w:val="0"/>
        <w:adjustRightInd w:val="0"/>
        <w:spacing w:line="360" w:lineRule="auto"/>
        <w:jc w:val="both"/>
        <w:rPr>
          <w:color w:val="000000"/>
          <w:szCs w:val="24"/>
        </w:rPr>
      </w:pPr>
    </w:p>
    <w:p w14:paraId="72944B40" w14:textId="7DBE54EF" w:rsidR="000C72E5" w:rsidRPr="007C0A85" w:rsidRDefault="000C72E5" w:rsidP="00616C21">
      <w:pPr>
        <w:widowControl w:val="0"/>
        <w:autoSpaceDE w:val="0"/>
        <w:autoSpaceDN w:val="0"/>
        <w:adjustRightInd w:val="0"/>
        <w:spacing w:line="360" w:lineRule="auto"/>
        <w:jc w:val="both"/>
        <w:rPr>
          <w:color w:val="000000"/>
          <w:szCs w:val="24"/>
        </w:rPr>
      </w:pPr>
    </w:p>
    <w:p w14:paraId="5F324C89" w14:textId="77777777" w:rsidR="00616C21" w:rsidRPr="007C0A85" w:rsidRDefault="00616C21" w:rsidP="00616C21">
      <w:pPr>
        <w:widowControl w:val="0"/>
        <w:autoSpaceDE w:val="0"/>
        <w:autoSpaceDN w:val="0"/>
        <w:adjustRightInd w:val="0"/>
        <w:spacing w:line="360" w:lineRule="auto"/>
        <w:jc w:val="both"/>
        <w:rPr>
          <w:b/>
          <w:bCs/>
          <w:color w:val="000000"/>
          <w:szCs w:val="24"/>
          <w:u w:val="single"/>
        </w:rPr>
      </w:pPr>
    </w:p>
    <w:p w14:paraId="00A88B50" w14:textId="77777777" w:rsidR="00616C21" w:rsidRPr="007C0A85" w:rsidRDefault="00616C21" w:rsidP="00616C21">
      <w:pPr>
        <w:widowControl w:val="0"/>
        <w:autoSpaceDE w:val="0"/>
        <w:autoSpaceDN w:val="0"/>
        <w:adjustRightInd w:val="0"/>
        <w:spacing w:line="360" w:lineRule="auto"/>
        <w:jc w:val="both"/>
        <w:rPr>
          <w:b/>
          <w:bCs/>
          <w:color w:val="000000"/>
          <w:szCs w:val="24"/>
          <w:u w:val="single"/>
        </w:rPr>
      </w:pPr>
    </w:p>
    <w:p w14:paraId="5C5E72AA" w14:textId="77777777" w:rsidR="00030F00" w:rsidRPr="007C0A85" w:rsidRDefault="00030F00" w:rsidP="00616C21">
      <w:pPr>
        <w:widowControl w:val="0"/>
        <w:autoSpaceDE w:val="0"/>
        <w:autoSpaceDN w:val="0"/>
        <w:adjustRightInd w:val="0"/>
        <w:spacing w:line="360" w:lineRule="auto"/>
        <w:jc w:val="both"/>
        <w:rPr>
          <w:b/>
          <w:bCs/>
          <w:color w:val="000000"/>
          <w:szCs w:val="24"/>
          <w:u w:val="single"/>
        </w:rPr>
      </w:pPr>
    </w:p>
    <w:p w14:paraId="5226E8E7" w14:textId="1F9C1349" w:rsidR="00616C21" w:rsidRPr="007C0A85" w:rsidRDefault="000C72E5" w:rsidP="00616C21">
      <w:pPr>
        <w:widowControl w:val="0"/>
        <w:autoSpaceDE w:val="0"/>
        <w:autoSpaceDN w:val="0"/>
        <w:adjustRightInd w:val="0"/>
        <w:spacing w:line="360" w:lineRule="auto"/>
        <w:jc w:val="both"/>
        <w:rPr>
          <w:bCs/>
          <w:color w:val="000000"/>
          <w:szCs w:val="24"/>
        </w:rPr>
      </w:pPr>
      <w:r w:rsidRPr="007C0A85">
        <w:rPr>
          <w:b/>
          <w:bCs/>
          <w:color w:val="000000"/>
          <w:szCs w:val="24"/>
          <w:u w:val="single"/>
        </w:rPr>
        <w:t>Artículo 3°:</w:t>
      </w:r>
      <w:r w:rsidRPr="007C0A85">
        <w:rPr>
          <w:bCs/>
          <w:color w:val="000000"/>
          <w:szCs w:val="24"/>
        </w:rPr>
        <w:t xml:space="preserve"> Disponer el incremento del haber del Subsidio </w:t>
      </w:r>
      <w:r w:rsidR="00C039EC" w:rsidRPr="007C0A85">
        <w:rPr>
          <w:bCs/>
          <w:color w:val="000000"/>
          <w:szCs w:val="24"/>
        </w:rPr>
        <w:t>Universal de Jubilaciones Ordinarias</w:t>
      </w:r>
      <w:r w:rsidR="00030F00" w:rsidRPr="007C0A85">
        <w:rPr>
          <w:bCs/>
          <w:color w:val="000000"/>
          <w:szCs w:val="24"/>
        </w:rPr>
        <w:t xml:space="preserve"> (S2)</w:t>
      </w:r>
      <w:r w:rsidRPr="007C0A85">
        <w:rPr>
          <w:bCs/>
          <w:color w:val="000000"/>
          <w:szCs w:val="24"/>
        </w:rPr>
        <w:t xml:space="preserve">, </w:t>
      </w:r>
      <w:r w:rsidR="00030F00" w:rsidRPr="007C0A85">
        <w:rPr>
          <w:bCs/>
          <w:color w:val="000000"/>
          <w:szCs w:val="24"/>
        </w:rPr>
        <w:t xml:space="preserve">en la proporción que se determine actuarialmente de acuerdo a la nueva escala de aporte </w:t>
      </w:r>
      <w:r w:rsidRPr="007C0A85">
        <w:rPr>
          <w:bCs/>
          <w:color w:val="000000"/>
          <w:szCs w:val="24"/>
        </w:rPr>
        <w:t>y en los mismos tiempos en que se ajusten los aport</w:t>
      </w:r>
      <w:r w:rsidR="00616C21" w:rsidRPr="007C0A85">
        <w:rPr>
          <w:bCs/>
          <w:color w:val="000000"/>
          <w:szCs w:val="24"/>
        </w:rPr>
        <w:t>es conforme la escala anterior.</w:t>
      </w:r>
    </w:p>
    <w:p w14:paraId="32689F06" w14:textId="77777777" w:rsidR="000C72E5" w:rsidRPr="007C0A85" w:rsidRDefault="000C72E5" w:rsidP="00616C21">
      <w:pPr>
        <w:widowControl w:val="0"/>
        <w:autoSpaceDE w:val="0"/>
        <w:autoSpaceDN w:val="0"/>
        <w:adjustRightInd w:val="0"/>
        <w:spacing w:line="360" w:lineRule="auto"/>
        <w:jc w:val="both"/>
        <w:rPr>
          <w:color w:val="000000"/>
          <w:szCs w:val="24"/>
        </w:rPr>
      </w:pPr>
      <w:r w:rsidRPr="007C0A85">
        <w:rPr>
          <w:b/>
          <w:color w:val="000000"/>
          <w:szCs w:val="24"/>
          <w:u w:val="single"/>
        </w:rPr>
        <w:t>Artículo 4°:</w:t>
      </w:r>
      <w:r w:rsidRPr="007C0A85">
        <w:rPr>
          <w:b/>
          <w:color w:val="000000"/>
          <w:szCs w:val="24"/>
        </w:rPr>
        <w:t xml:space="preserve"> </w:t>
      </w:r>
      <w:r w:rsidRPr="007C0A85">
        <w:rPr>
          <w:color w:val="000000"/>
          <w:szCs w:val="24"/>
        </w:rPr>
        <w:t>Publíquese en el Boletín Oficial de la provincia de Neuquén, regístrese, notifíquese y cumplido archívese.</w:t>
      </w:r>
    </w:p>
    <w:p w14:paraId="72A98ABC" w14:textId="77777777" w:rsidR="000C72E5" w:rsidRPr="007C0A85" w:rsidRDefault="000C72E5" w:rsidP="00616C21">
      <w:pPr>
        <w:widowControl w:val="0"/>
        <w:autoSpaceDE w:val="0"/>
        <w:autoSpaceDN w:val="0"/>
        <w:adjustRightInd w:val="0"/>
        <w:spacing w:line="360" w:lineRule="auto"/>
        <w:jc w:val="center"/>
        <w:rPr>
          <w:b/>
          <w:bCs/>
          <w:color w:val="000000"/>
          <w:szCs w:val="24"/>
          <w:u w:val="single"/>
        </w:rPr>
      </w:pPr>
    </w:p>
    <w:p w14:paraId="6D3C3B2A" w14:textId="77777777" w:rsidR="000C72E5" w:rsidRPr="007C0A85" w:rsidRDefault="000C72E5" w:rsidP="00616C21">
      <w:pPr>
        <w:spacing w:line="360" w:lineRule="auto"/>
        <w:rPr>
          <w:szCs w:val="24"/>
        </w:rPr>
      </w:pPr>
    </w:p>
    <w:p w14:paraId="3AB6B79D" w14:textId="77777777" w:rsidR="00B906BC" w:rsidRPr="007C0A85" w:rsidRDefault="00B906BC" w:rsidP="00616C21">
      <w:pPr>
        <w:spacing w:line="360" w:lineRule="auto"/>
        <w:rPr>
          <w:szCs w:val="24"/>
        </w:rPr>
      </w:pPr>
    </w:p>
    <w:sectPr w:rsidR="00B906BC" w:rsidRPr="007C0A85" w:rsidSect="007C0A85">
      <w:headerReference w:type="default" r:id="rId8"/>
      <w:footerReference w:type="default" r:id="rId9"/>
      <w:pgSz w:w="11907" w:h="16839" w:code="9"/>
      <w:pgMar w:top="2836" w:right="1701" w:bottom="1417" w:left="1701"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8F633" w14:textId="77777777" w:rsidR="00847089" w:rsidRDefault="00847089" w:rsidP="00F33BDC">
      <w:r>
        <w:separator/>
      </w:r>
    </w:p>
  </w:endnote>
  <w:endnote w:type="continuationSeparator" w:id="0">
    <w:p w14:paraId="472224A2" w14:textId="77777777" w:rsidR="00847089" w:rsidRDefault="00847089" w:rsidP="00F3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14E53" w14:textId="77777777" w:rsidR="00F33BDC" w:rsidRDefault="00F33BDC" w:rsidP="00F33BDC">
    <w:pPr>
      <w:pStyle w:val="Piedepgina"/>
      <w:ind w:left="-1701"/>
    </w:pPr>
    <w:r>
      <w:rPr>
        <w:noProof/>
        <w:lang w:val="en-US"/>
      </w:rPr>
      <w:drawing>
        <wp:inline distT="0" distB="0" distL="0" distR="0" wp14:anchorId="029057E7" wp14:editId="7688F276">
          <wp:extent cx="7533418" cy="543859"/>
          <wp:effectExtent l="0" t="0" r="0" b="8890"/>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A4-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156" cy="5459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84FCD" w14:textId="77777777" w:rsidR="00847089" w:rsidRDefault="00847089" w:rsidP="00F33BDC">
      <w:r>
        <w:separator/>
      </w:r>
    </w:p>
  </w:footnote>
  <w:footnote w:type="continuationSeparator" w:id="0">
    <w:p w14:paraId="3BB51CC7" w14:textId="77777777" w:rsidR="00847089" w:rsidRDefault="00847089" w:rsidP="00F33B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BFC07" w14:textId="77777777" w:rsidR="00B906BC" w:rsidRPr="00B906BC" w:rsidRDefault="00B906BC" w:rsidP="00F33BDC">
    <w:pPr>
      <w:pStyle w:val="Encabezado"/>
      <w:ind w:left="-1701"/>
      <w:rPr>
        <w:sz w:val="12"/>
      </w:rPr>
    </w:pPr>
  </w:p>
  <w:p w14:paraId="46E05D7A" w14:textId="77777777" w:rsidR="00F33BDC" w:rsidRDefault="00B906BC" w:rsidP="00F33BDC">
    <w:pPr>
      <w:pStyle w:val="Encabezado"/>
      <w:ind w:left="-1701"/>
    </w:pPr>
    <w:r>
      <w:rPr>
        <w:noProof/>
        <w:lang w:val="en-US"/>
      </w:rPr>
      <w:drawing>
        <wp:inline distT="0" distB="0" distL="0" distR="0" wp14:anchorId="084EE6D7" wp14:editId="55FA68B9">
          <wp:extent cx="7566212" cy="1424281"/>
          <wp:effectExtent l="0" t="0" r="0" b="508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A4-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814" cy="14272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319D3"/>
    <w:multiLevelType w:val="hybridMultilevel"/>
    <w:tmpl w:val="F38A9B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DC"/>
    <w:rsid w:val="00030F00"/>
    <w:rsid w:val="000C72E5"/>
    <w:rsid w:val="0022518D"/>
    <w:rsid w:val="002257AE"/>
    <w:rsid w:val="00231E18"/>
    <w:rsid w:val="00294366"/>
    <w:rsid w:val="00495B0E"/>
    <w:rsid w:val="005060A9"/>
    <w:rsid w:val="005C660A"/>
    <w:rsid w:val="00616C21"/>
    <w:rsid w:val="00677272"/>
    <w:rsid w:val="00697556"/>
    <w:rsid w:val="00706F59"/>
    <w:rsid w:val="007C0A85"/>
    <w:rsid w:val="00847089"/>
    <w:rsid w:val="008A4755"/>
    <w:rsid w:val="00913992"/>
    <w:rsid w:val="009918F8"/>
    <w:rsid w:val="00A217BD"/>
    <w:rsid w:val="00AC1A39"/>
    <w:rsid w:val="00B906BC"/>
    <w:rsid w:val="00C039EC"/>
    <w:rsid w:val="00D510C6"/>
    <w:rsid w:val="00DE6096"/>
    <w:rsid w:val="00ED5C27"/>
    <w:rsid w:val="00F33BDC"/>
    <w:rsid w:val="00F4581A"/>
    <w:rsid w:val="00F76053"/>
    <w:rsid w:val="00F77A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7F5152"/>
  <w15:docId w15:val="{31719938-28EF-40D4-9959-AB305678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2E5"/>
    <w:pPr>
      <w:spacing w:after="0" w:line="240" w:lineRule="auto"/>
    </w:pPr>
    <w:rPr>
      <w:rFonts w:ascii="Times New Roman" w:eastAsia="Times New Roman" w:hAnsi="Times New Roman" w:cs="Times New Roman"/>
      <w:sz w:val="24"/>
      <w:szCs w:val="20"/>
      <w:lang w:eastAsia="es-ES"/>
    </w:rPr>
  </w:style>
  <w:style w:type="paragraph" w:styleId="Ttulo3">
    <w:name w:val="heading 3"/>
    <w:basedOn w:val="Normal"/>
    <w:next w:val="Normal"/>
    <w:link w:val="Ttulo3Car"/>
    <w:qFormat/>
    <w:rsid w:val="000C72E5"/>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3BDC"/>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33BDC"/>
  </w:style>
  <w:style w:type="paragraph" w:styleId="Piedepgina">
    <w:name w:val="footer"/>
    <w:basedOn w:val="Normal"/>
    <w:link w:val="PiedepginaCar"/>
    <w:uiPriority w:val="99"/>
    <w:unhideWhenUsed/>
    <w:rsid w:val="00F33BDC"/>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33BDC"/>
  </w:style>
  <w:style w:type="paragraph" w:styleId="Textodeglobo">
    <w:name w:val="Balloon Text"/>
    <w:basedOn w:val="Normal"/>
    <w:link w:val="TextodegloboCar"/>
    <w:uiPriority w:val="99"/>
    <w:semiHidden/>
    <w:unhideWhenUsed/>
    <w:rsid w:val="00F33BDC"/>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33BDC"/>
    <w:rPr>
      <w:rFonts w:ascii="Tahoma" w:hAnsi="Tahoma" w:cs="Tahoma"/>
      <w:sz w:val="16"/>
      <w:szCs w:val="16"/>
    </w:rPr>
  </w:style>
  <w:style w:type="paragraph" w:styleId="Prrafodelista">
    <w:name w:val="List Paragraph"/>
    <w:basedOn w:val="Normal"/>
    <w:uiPriority w:val="34"/>
    <w:qFormat/>
    <w:rsid w:val="005C660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3Car">
    <w:name w:val="Título 3 Car"/>
    <w:basedOn w:val="Fuentedeprrafopredeter"/>
    <w:link w:val="Ttulo3"/>
    <w:rsid w:val="000C72E5"/>
    <w:rPr>
      <w:rFonts w:ascii="Arial" w:eastAsia="Times New Roman" w:hAnsi="Arial" w:cs="Arial"/>
      <w:b/>
      <w:bCs/>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BEE7F-6870-4BF1-9E5E-16DBB9B2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4</cp:revision>
  <cp:lastPrinted>2023-06-21T15:38:00Z</cp:lastPrinted>
  <dcterms:created xsi:type="dcterms:W3CDTF">2023-06-21T15:25:00Z</dcterms:created>
  <dcterms:modified xsi:type="dcterms:W3CDTF">2023-06-21T15:38:00Z</dcterms:modified>
</cp:coreProperties>
</file>